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color w:val="666666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sz w:val="30"/>
          <w:szCs w:val="30"/>
          <w:rtl w:val="0"/>
        </w:rPr>
        <w:t xml:space="preserve">Cómo potenciar el comercio internacional de América Latina en un nuevo entorno global</w:t>
      </w:r>
    </w:p>
    <w:p w:rsidR="00000000" w:rsidDel="00000000" w:rsidP="00000000" w:rsidRDefault="00000000" w:rsidRPr="00000000" w14:paraId="00000002">
      <w:pPr>
        <w:jc w:val="left"/>
        <w:rPr>
          <w:rFonts w:ascii="Arial Narrow" w:cs="Arial Narrow" w:eastAsia="Arial Narrow" w:hAnsi="Arial Narrow"/>
          <w:color w:val="66666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Más de 1.000 líderes de distintos sectores de América, Europa y Asia participan en la 23 Conferencia Anual CAF que en su primer día giró en torno a cómo repensar una agenda comercial en las Américas y potenciar las relaciones con China, más allá de la complementariedad.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00" w:line="276.0005454545455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color w:val="808080"/>
          <w:rtl w:val="0"/>
        </w:rPr>
        <w:t xml:space="preserve">(Washington D.C, 04 de septiembre de 2019)-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América Latina no está exenta del impacto de la relación comercial entre Estados Unidos y China. Los efectos en los flujos comerciales, los tipos de cambio y los precios de los commodities son algunos de los aspectos que están impactando a las economías de la región. Cómo sobrellevar esta situación y qué medidas tomar para fortalecer el comercio internacional, fueron los temas centrales del primer día de la 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23 Conferencia Anual CAF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que se realiza en el hotel Willard de Washington D.C..</w:t>
      </w:r>
    </w:p>
    <w:p w:rsidR="00000000" w:rsidDel="00000000" w:rsidP="00000000" w:rsidRDefault="00000000" w:rsidRPr="00000000" w14:paraId="00000006">
      <w:pPr>
        <w:shd w:fill="ffffff" w:val="clear"/>
        <w:spacing w:after="200" w:line="276.0005454545455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 las palabras de apertura el presidente ejecutivo de CAF,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Luis Carranza Ugarte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aseguró que “más allá de los efectos coyunturales, importa significativamente el nuevo equilibrio al cual estamos arribando en el mundo y cómo América Latina se puede posicionar mejor ante los nuevos patrones de comercio que van a emerger”.</w:t>
      </w:r>
    </w:p>
    <w:p w:rsidR="00000000" w:rsidDel="00000000" w:rsidP="00000000" w:rsidRDefault="00000000" w:rsidRPr="00000000" w14:paraId="00000007">
      <w:pPr>
        <w:shd w:fill="ffffff" w:val="clear"/>
        <w:spacing w:after="200" w:line="276.0005454545455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Por su parte,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Michael Shifter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presidente del Diálogo Interamericano, señaló: “Ante el escenario actual de incertidumbre política, económica y social, las guerras comerciales y crisis políticas, es más importante que nunca centrar el foco en los desafíos de largo plazo en el hemisferio occidental”.</w:t>
      </w:r>
    </w:p>
    <w:p w:rsidR="00000000" w:rsidDel="00000000" w:rsidP="00000000" w:rsidRDefault="00000000" w:rsidRPr="00000000" w14:paraId="00000008">
      <w:pPr>
        <w:shd w:fill="ffffff" w:val="clear"/>
        <w:spacing w:after="200" w:line="276.0005454545455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ex subsecretaria de Defensa para asuntos políticos de Estados Unidos,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Michèle Flournoy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en diálogo con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Thomas Shannon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copresidente del Diálogo Interamericano y ex subsecretario de Estado para Asuntos Políticos de Estados Unidos, destacó los retos en seguridad y las relaciones geopolíticas con China, Rusia, Europa y en temas coyunturales como el Brexit. “En el caso puntual de China, tanto en seguridad como en política y en economía, tenemos que ver cómo podemos competir, colaborar y tener un mayor acercamiento institucional que permita alcanzar un escenario en el que todos sigan las reglas de juego”, afirmó.  </w:t>
      </w:r>
    </w:p>
    <w:p w:rsidR="00000000" w:rsidDel="00000000" w:rsidP="00000000" w:rsidRDefault="00000000" w:rsidRPr="00000000" w14:paraId="00000009">
      <w:pPr>
        <w:shd w:fill="ffffff" w:val="clear"/>
        <w:spacing w:after="200" w:line="276.0005454545455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Cómo repensar una agenda comercial en las Américas fue el debate de la primera sesión en el que participaron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Carla Hills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ex representante de Comercio (EE.UU.);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Anabel González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ex ministra de Comercio (Costa Rica);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Marisa Bircher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secretaria de Comercio Exterior del Ministerio de Producción y Trabajo de la Nación (Argentina);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Martha Bárcena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embajadora de México en EE.UU.; y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Mauricio Mesquita Moreira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Economista Principal del Sector de Comercio e Integración del BID.</w:t>
      </w:r>
    </w:p>
    <w:p w:rsidR="00000000" w:rsidDel="00000000" w:rsidP="00000000" w:rsidRDefault="00000000" w:rsidRPr="00000000" w14:paraId="0000000A">
      <w:pPr>
        <w:shd w:fill="ffffff" w:val="clear"/>
        <w:spacing w:after="200" w:line="276.0005454545455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segunda sesión giró en torno en cómo llevar más allá de la Complementariedad las relaciones entre América Latina y China, con el aporte de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Isabel de Saint Malo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ex vicepresidenta y ministra de Relaciones Exteriores (Panamá);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Alex Hao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socio de JunHe (EE.UU.);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Enrique Dussel Peters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profesor de economía de la UNAM (México);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Anton Chan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especialista RMB, Mercados Financieros de Standard Chartered Bank (EE.UU.);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Rosa Ng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representante de la relación comercial RD-China, Red Iberoamericana de Estudios Internacionales (República Dominicana); y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Silvia Pavoni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The Banker, Financial Times.</w:t>
      </w:r>
    </w:p>
    <w:p w:rsidR="00000000" w:rsidDel="00000000" w:rsidP="00000000" w:rsidRDefault="00000000" w:rsidRPr="00000000" w14:paraId="0000000B">
      <w:pPr>
        <w:shd w:fill="ffffff" w:val="clear"/>
        <w:spacing w:after="200" w:line="276.0005454545455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Durante la jornada del jueves en la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23 Conferencia Anual CAF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convocada por CAF –banco de desarrollo de América Latina-, el Diálogo Interamericano, y la Organización de Estados Americanos (OEA), se abordarán temas coyunturales en la región como los cambios políticos con los actuales procesos electorales y los nuevos gobiernos en Brasil y México; medios sociales, desinformación y política cambiante en América Latina; y hacia dónde se dirige Venezuela.</w:t>
      </w:r>
    </w:p>
    <w:p w:rsidR="00000000" w:rsidDel="00000000" w:rsidP="00000000" w:rsidRDefault="00000000" w:rsidRPr="00000000" w14:paraId="0000000C">
      <w:pPr>
        <w:shd w:fill="ffffff" w:val="clear"/>
        <w:spacing w:after="200" w:line="276.0005454545455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“El impacto de la revolución digital sobre los sistemas políticos en general y los procesos electorales en particular, es indiscutible. Cómo podemos en América Latina mantener un ritmo de crecimiento adecuado y de reformas estructurales que mejoren el largo plazo a pesar de la menor capacidad estatal de implementar reformas, es un tema fundamental para la región que se discutirá durante la conferencia”, agregó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Carranza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563c1"/>
          <w:sz w:val="24"/>
          <w:szCs w:val="24"/>
          <w:u w:val="single"/>
          <w:rtl w:val="0"/>
        </w:rPr>
        <w:t xml:space="preserve">Conoce más detalles sobre la programación de la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23 Conferencia Anual CAF</w:t>
        </w:r>
      </w:hyperlink>
      <w:r w:rsidDel="00000000" w:rsidR="00000000" w:rsidRPr="00000000">
        <w:rPr>
          <w:rFonts w:ascii="Arial Narrow" w:cs="Arial Narrow" w:eastAsia="Arial Narrow" w:hAnsi="Arial Narrow"/>
          <w:color w:val="0563c1"/>
          <w:sz w:val="24"/>
          <w:szCs w:val="24"/>
          <w:u w:val="single"/>
          <w:rtl w:val="0"/>
        </w:rPr>
        <w:t xml:space="preserve"> y sigue la transmisión en directo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 es una de las principales fuentes de financiamiento multilateral y un importante generador de conocimiento para la región. Más información en </w:t>
      </w:r>
      <w:hyperlink r:id="rId9">
        <w:r w:rsidDel="00000000" w:rsidR="00000000" w:rsidRPr="00000000">
          <w:rPr>
            <w:rFonts w:ascii="Arial Narrow" w:cs="Arial Narrow" w:eastAsia="Arial Narrow" w:hAnsi="Arial Narrow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0000ff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CAF, Dirección de Comunicación Estratégica, </w:t>
      </w:r>
      <w:r w:rsidDel="00000000" w:rsidR="00000000" w:rsidRPr="00000000">
        <w:rPr>
          <w:rFonts w:ascii="Arial Narrow" w:cs="Arial Narrow" w:eastAsia="Arial Narrow" w:hAnsi="Arial Narrow"/>
          <w:color w:val="0000ff"/>
          <w:sz w:val="16"/>
          <w:szCs w:val="16"/>
          <w:rtl w:val="0"/>
        </w:rPr>
        <w:t xml:space="preserve">prensa@caf.com</w:t>
      </w:r>
    </w:p>
    <w:p w:rsidR="00000000" w:rsidDel="00000000" w:rsidP="00000000" w:rsidRDefault="00000000" w:rsidRPr="00000000" w14:paraId="0000001C">
      <w:pPr>
        <w:shd w:fill="ffffff" w:val="clear"/>
        <w:spacing w:after="20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Encuéntrenos en: Facebook: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/ Twitter: </w:t>
      </w:r>
      <w:hyperlink r:id="rId11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160" w:line="259" w:lineRule="auto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1800225</wp:posOffset>
          </wp:positionH>
          <wp:positionV relativeFrom="paragraph">
            <wp:posOffset>0</wp:posOffset>
          </wp:positionV>
          <wp:extent cx="2453742" cy="68762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3742" cy="6876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witter.com/AgendaCAF" TargetMode="External"/><Relationship Id="rId10" Type="http://schemas.openxmlformats.org/officeDocument/2006/relationships/hyperlink" Target="https://www.facebook.com/CAF.America.Latina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caf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f.com/es/actualidad/eventos/2019/09/23-conferencia-anual-caf/" TargetMode="External"/><Relationship Id="rId7" Type="http://schemas.openxmlformats.org/officeDocument/2006/relationships/hyperlink" Target="https://www.caf.com/es/actualidad/eventos/2019/09/23-conferencia-anual-caf/" TargetMode="External"/><Relationship Id="rId8" Type="http://schemas.openxmlformats.org/officeDocument/2006/relationships/hyperlink" Target="https://www.caf.com/es/actualidad/eventos/2019/09/23-conferencia-anual-caf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